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32" w:rsidRDefault="002A1880" w:rsidP="00775F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-916940</wp:posOffset>
                </wp:positionV>
                <wp:extent cx="4027805" cy="2293620"/>
                <wp:effectExtent l="0" t="190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805" cy="229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812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3"/>
                              <w:gridCol w:w="2989"/>
                            </w:tblGrid>
                            <w:tr w:rsidR="00702BA8" w:rsidRPr="007E1703" w:rsidTr="00C35469">
                              <w:trPr>
                                <w:trHeight w:val="1276"/>
                              </w:trPr>
                              <w:tc>
                                <w:tcPr>
                                  <w:tcW w:w="5812" w:type="dxa"/>
                                  <w:gridSpan w:val="2"/>
                                  <w:vAlign w:val="center"/>
                                </w:tcPr>
                                <w:p w:rsidR="00702BA8" w:rsidRPr="00AC2C82" w:rsidRDefault="00E35B8E" w:rsidP="00A111C1">
                                  <w:pPr>
                                    <w:spacing w:before="120" w:line="264" w:lineRule="auto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 xml:space="preserve">Email for inviting stakeholders to participate in IO4 interviews </w:t>
                                  </w:r>
                                </w:p>
                              </w:tc>
                            </w:tr>
                            <w:tr w:rsidR="00702BA8" w:rsidRPr="00C35469" w:rsidTr="00C35469">
                              <w:trPr>
                                <w:trHeight w:val="732"/>
                              </w:trPr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:rsidR="00702BA8" w:rsidRPr="00AC2C82" w:rsidRDefault="00702BA8" w:rsidP="00702BA8">
                                  <w:pPr>
                                    <w:spacing w:before="120" w:line="264" w:lineRule="auto"/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AC2C82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2A1880" w:rsidRPr="007E1703" w:rsidTr="00C35469">
                              <w:tc>
                                <w:tcPr>
                                  <w:tcW w:w="2823" w:type="dxa"/>
                                </w:tcPr>
                                <w:p w:rsidR="002A1880" w:rsidRPr="00DE52A9" w:rsidRDefault="002A1880" w:rsidP="002A1880">
                                  <w:pPr>
                                    <w:spacing w:before="120" w:line="264" w:lineRule="auto"/>
                                    <w:rPr>
                                      <w:rFonts w:ascii="Arial" w:hAnsi="Arial" w:cs="Arial"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F7F7F"/>
                                      <w:sz w:val="16"/>
                                      <w:szCs w:val="16"/>
                                    </w:rPr>
                                    <w:t xml:space="preserve">IO 4 </w:t>
                                  </w:r>
                                  <w:r w:rsidRPr="00DE52A9">
                                    <w:rPr>
                                      <w:rFonts w:ascii="Arial" w:hAnsi="Arial" w:cs="Arial"/>
                                      <w:color w:val="7F7F7F"/>
                                      <w:sz w:val="16"/>
                                      <w:szCs w:val="16"/>
                                    </w:rPr>
                                    <w:t>- ‘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/>
                                      <w:sz w:val="16"/>
                                      <w:szCs w:val="16"/>
                                    </w:rPr>
                                    <w:t>Organisational Profiles</w:t>
                                  </w:r>
                                  <w:r w:rsidRPr="00DE52A9">
                                    <w:rPr>
                                      <w:rFonts w:ascii="Arial" w:hAnsi="Arial" w:cs="Arial"/>
                                      <w:color w:val="7F7F7F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vMerge w:val="restart"/>
                                  <w:vAlign w:val="bottom"/>
                                </w:tcPr>
                                <w:p w:rsidR="002A1880" w:rsidRPr="00AC2C82" w:rsidRDefault="002A1880" w:rsidP="002A1880">
                                  <w:pPr>
                                    <w:spacing w:before="120" w:line="264" w:lineRule="auto"/>
                                    <w:jc w:val="right"/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7F7F7F" w:themeColor="text1" w:themeTint="8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EB556A2" wp14:editId="6DC97A43">
                                        <wp:extent cx="1553645" cy="573206"/>
                                        <wp:effectExtent l="19050" t="0" r="8455" b="0"/>
                                        <wp:docPr id="5" name="Grafik 19" descr="HCEU_logo_blueontra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CEU_logo_blueontrans.pn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8371" cy="574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880" w:rsidRPr="007E1703" w:rsidTr="00C35469">
                              <w:tc>
                                <w:tcPr>
                                  <w:tcW w:w="2823" w:type="dxa"/>
                                </w:tcPr>
                                <w:p w:rsidR="002A1880" w:rsidRPr="00DE52A9" w:rsidRDefault="002A1880" w:rsidP="002A1880">
                                  <w:pPr>
                                    <w:spacing w:before="120" w:line="264" w:lineRule="auto"/>
                                    <w:rPr>
                                      <w:rFonts w:ascii="Arial" w:hAnsi="Arial" w:cs="Arial"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  <w:vMerge/>
                                </w:tcPr>
                                <w:p w:rsidR="002A1880" w:rsidRPr="00AC2C82" w:rsidRDefault="002A1880" w:rsidP="002A1880">
                                  <w:pPr>
                                    <w:spacing w:before="120" w:line="264" w:lineRule="auto"/>
                                    <w:jc w:val="right"/>
                                    <w:rPr>
                                      <w:rFonts w:ascii="Arial" w:hAnsi="Arial" w:cs="Arial"/>
                                      <w:noProof/>
                                      <w:color w:val="7F7F7F" w:themeColor="text1" w:themeTint="80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702BA8" w:rsidRPr="00C35469" w:rsidTr="00C35469">
                              <w:tc>
                                <w:tcPr>
                                  <w:tcW w:w="2823" w:type="dxa"/>
                                  <w:vAlign w:val="bottom"/>
                                </w:tcPr>
                                <w:p w:rsidR="00702BA8" w:rsidRPr="00AC2C82" w:rsidRDefault="00702BA8" w:rsidP="00702BA8">
                                  <w:pPr>
                                    <w:spacing w:before="120" w:line="264" w:lineRule="auto"/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  <w:vMerge/>
                                </w:tcPr>
                                <w:p w:rsidR="00702BA8" w:rsidRPr="00AC2C82" w:rsidRDefault="00702BA8" w:rsidP="00A111C1">
                                  <w:pPr>
                                    <w:spacing w:before="120" w:line="264" w:lineRule="auto"/>
                                    <w:jc w:val="right"/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2BA8" w:rsidRPr="009D7FB2" w:rsidRDefault="00702BA8" w:rsidP="00702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9.65pt;margin-top:-72.2pt;width:317.15pt;height:1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BjqQIAAFQFAAAOAAAAZHJzL2Uyb0RvYy54bWysVNuO0zAQfUfiHyy/d3MhvSRqutrtUoS0&#10;wIqFD3ASJ7FwbGO7TXcR/87YbrstvCBEH1LPeDxz5syxl9f7gaMd1YZJUeLkKsaIilo2THQl/vpl&#10;M1lgZCwRDeFS0BI/UYOvV69fLUdV0FT2kjdUI0giTDGqEvfWqiKKTN3TgZgrqaiAzVbqgVgwdRc1&#10;moyQfeBRGsezaJS6UVrW1Bjw3oVNvPL525bW9lPbGmoRLzFgs/6r/bdy32i1JEWniepZfYBB/gHF&#10;QJiAoqdUd8QStNXsj1QDq7U0srVXtRwi2baspr4H6CaJf+vmsSeK+l6AHKNONJn/l7b+uHvQiDUw&#10;O4wEGWBEn4E0IjpOUeroGZUpIOpRPWjXoFH3sv5mkJDrHqLojdZy7ClpAFTi4qOLA84wcBRV4wfZ&#10;QHaytdIztW/14BICB2jvB/J0GgjdW1SDM4vT+SKeYlTDXprmb2apH1lEiuNxpY19R+WA3KLEGsD7&#10;9GR3b6yDQ4pjiIcvOWs2jHNvOJXRNddoR0AfVZf4o3w7ANbgS2L3CzIBP4gp+A8uwlVPgmc+PQRC&#10;RS9fl9jXN+c1uXCVhXQYArzggZYBsNtzzXvp/MiTNItv03yymS3mk2yTTSf5PF5M4iS/zWdxlmd3&#10;m58OcpIVPWsaKu6ZoEcZJ9nfyeRwoYIAvZDRWOJ8mk49Gxfoje6qE1+emuM8LsIGZuFWczaUeOGj&#10;AoFOJm9FA22TwhLGwzq6hO8pAw6O/54VLyqno6BHu6/2kMWJq5LNE8hLSxg+XHB4imDRS/2M0QjX&#10;usTm+5ZoihF/L0CieZJl7h3wRjadg56QPt+pzneIqCFViS1GYbm24e3YKs26HioFxQh5A7JumRfc&#10;CypowRlwdX0zh2fGvQ3nto96eQxXvwAAAP//AwBQSwMEFAAGAAgAAAAhAMuSHoPhAAAADQEAAA8A&#10;AABkcnMvZG93bnJldi54bWxMj8tOwzAQRfdI/IM1SOxaJ60TQsikQghWsKH0A5zYOKHxQ7bThr/H&#10;XdHl6B7de6bZLXoiJ+nDaA1Cvs6ASNNbMRqFcPh6W1VAQuRG8MkaifArA+za25uG18Kezac87aMi&#10;qcSEmiMMMbqa0tAPUvOwtk6alH1br3lMp1dUeH5O5XqimywrqeajSQsDd/JlkP1xP2sEdSzcgzvM&#10;s6pex+KnY++6+PCI93fL8xOQKJf4D8NFP6lDm5w6OxsRyITA8sdtQhFWOWMMyAXJim0JpEPY5GUF&#10;tG3o9RftHwAAAP//AwBQSwECLQAUAAYACAAAACEAtoM4kv4AAADhAQAAEwAAAAAAAAAAAAAAAAAA&#10;AAAAW0NvbnRlbnRfVHlwZXNdLnhtbFBLAQItABQABgAIAAAAIQA4/SH/1gAAAJQBAAALAAAAAAAA&#10;AAAAAAAAAC8BAABfcmVscy8ucmVsc1BLAQItABQABgAIAAAAIQBH+TBjqQIAAFQFAAAOAAAAAAAA&#10;AAAAAAAAAC4CAABkcnMvZTJvRG9jLnhtbFBLAQItABQABgAIAAAAIQDLkh6D4QAAAA0BAAAPAAAA&#10;AAAAAAAAAAAAAAMFAABkcnMvZG93bnJldi54bWxQSwUGAAAAAAQABADzAAAAEQYAAAAA&#10;" fillcolor="white [3212]" stroked="f">
                <v:fill opacity="49087f"/>
                <v:textbox>
                  <w:txbxContent>
                    <w:tbl>
                      <w:tblPr>
                        <w:tblStyle w:val="Tabellenraster"/>
                        <w:tblW w:w="5812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3"/>
                        <w:gridCol w:w="2989"/>
                      </w:tblGrid>
                      <w:tr w:rsidR="00702BA8" w:rsidRPr="007E1703" w:rsidTr="00C35469">
                        <w:trPr>
                          <w:trHeight w:val="1276"/>
                        </w:trPr>
                        <w:tc>
                          <w:tcPr>
                            <w:tcW w:w="5812" w:type="dxa"/>
                            <w:gridSpan w:val="2"/>
                            <w:vAlign w:val="center"/>
                          </w:tcPr>
                          <w:p w:rsidR="00702BA8" w:rsidRPr="00AC2C82" w:rsidRDefault="00E35B8E" w:rsidP="00A111C1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Email for inviting stakeholders to participate in IO4 interviews </w:t>
                            </w:r>
                          </w:p>
                        </w:tc>
                      </w:tr>
                      <w:tr w:rsidR="00702BA8" w:rsidRPr="00C35469" w:rsidTr="00C35469">
                        <w:trPr>
                          <w:trHeight w:val="732"/>
                        </w:trPr>
                        <w:tc>
                          <w:tcPr>
                            <w:tcW w:w="5812" w:type="dxa"/>
                            <w:gridSpan w:val="2"/>
                          </w:tcPr>
                          <w:p w:rsidR="00702BA8" w:rsidRPr="00AC2C82" w:rsidRDefault="00702BA8" w:rsidP="00702BA8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C2C82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  <w:tr w:rsidR="002A1880" w:rsidRPr="007E1703" w:rsidTr="00C35469">
                        <w:tc>
                          <w:tcPr>
                            <w:tcW w:w="2823" w:type="dxa"/>
                          </w:tcPr>
                          <w:p w:rsidR="002A1880" w:rsidRPr="00DE52A9" w:rsidRDefault="002A1880" w:rsidP="002A1880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IO 4 </w:t>
                            </w:r>
                            <w:r w:rsidRPr="00DE52A9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- ‘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Organisational Profiles</w:t>
                            </w:r>
                            <w:r w:rsidRPr="00DE52A9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2989" w:type="dxa"/>
                            <w:vMerge w:val="restart"/>
                            <w:vAlign w:val="bottom"/>
                          </w:tcPr>
                          <w:p w:rsidR="002A1880" w:rsidRPr="00AC2C82" w:rsidRDefault="002A1880" w:rsidP="002A1880">
                            <w:pPr>
                              <w:spacing w:before="120" w:line="264" w:lineRule="auto"/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F7F7F" w:themeColor="text1" w:themeTint="8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5EB556A2" wp14:editId="6DC97A43">
                                  <wp:extent cx="1553645" cy="573206"/>
                                  <wp:effectExtent l="19050" t="0" r="8455" b="0"/>
                                  <wp:docPr id="5" name="Grafik 19" descr="HCEU_logo_blueontra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CEU_logo_blueontran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371" cy="57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880" w:rsidRPr="007E1703" w:rsidTr="00C35469">
                        <w:tc>
                          <w:tcPr>
                            <w:tcW w:w="2823" w:type="dxa"/>
                          </w:tcPr>
                          <w:p w:rsidR="002A1880" w:rsidRPr="00DE52A9" w:rsidRDefault="002A1880" w:rsidP="002A1880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  <w:vMerge/>
                          </w:tcPr>
                          <w:p w:rsidR="002A1880" w:rsidRPr="00AC2C82" w:rsidRDefault="002A1880" w:rsidP="002A1880">
                            <w:pPr>
                              <w:spacing w:before="120" w:line="264" w:lineRule="auto"/>
                              <w:jc w:val="right"/>
                              <w:rPr>
                                <w:rFonts w:ascii="Arial" w:hAnsi="Arial" w:cs="Arial"/>
                                <w:noProof/>
                                <w:color w:val="7F7F7F" w:themeColor="text1" w:themeTint="8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</w:tc>
                      </w:tr>
                      <w:tr w:rsidR="00702BA8" w:rsidRPr="00C35469" w:rsidTr="00C35469">
                        <w:tc>
                          <w:tcPr>
                            <w:tcW w:w="2823" w:type="dxa"/>
                            <w:vAlign w:val="bottom"/>
                          </w:tcPr>
                          <w:p w:rsidR="00702BA8" w:rsidRPr="00AC2C82" w:rsidRDefault="00702BA8" w:rsidP="00702BA8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  <w:vMerge/>
                          </w:tcPr>
                          <w:p w:rsidR="00702BA8" w:rsidRPr="00AC2C82" w:rsidRDefault="00702BA8" w:rsidP="00A111C1">
                            <w:pPr>
                              <w:spacing w:before="120" w:line="264" w:lineRule="auto"/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02BA8" w:rsidRPr="009D7FB2" w:rsidRDefault="00702BA8" w:rsidP="00702BA8"/>
                  </w:txbxContent>
                </v:textbox>
              </v:rect>
            </w:pict>
          </mc:Fallback>
        </mc:AlternateContent>
      </w:r>
      <w:r w:rsidR="00702BA8" w:rsidRPr="00702BA8">
        <w:rPr>
          <w:rFonts w:ascii="Arial" w:hAnsi="Arial" w:cs="Arial"/>
          <w:i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-908041</wp:posOffset>
            </wp:positionH>
            <wp:positionV relativeFrom="paragraph">
              <wp:posOffset>-913443</wp:posOffset>
            </wp:positionV>
            <wp:extent cx="7582753" cy="2292824"/>
            <wp:effectExtent l="19050" t="0" r="0" b="0"/>
            <wp:wrapNone/>
            <wp:docPr id="3" name="Grafik 2" descr="Fotolia_58308531_L_Kur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8308531_L_Kurh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5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BA8" w:rsidRDefault="00702BA8" w:rsidP="00775F88">
      <w:pPr>
        <w:jc w:val="both"/>
        <w:rPr>
          <w:rFonts w:ascii="Arial" w:hAnsi="Arial" w:cs="Arial"/>
          <w:i/>
        </w:rPr>
      </w:pPr>
    </w:p>
    <w:p w:rsidR="00702BA8" w:rsidRDefault="00702BA8" w:rsidP="00775F88">
      <w:pPr>
        <w:jc w:val="both"/>
        <w:rPr>
          <w:rFonts w:ascii="Arial" w:hAnsi="Arial" w:cs="Arial"/>
          <w:i/>
        </w:rPr>
      </w:pPr>
    </w:p>
    <w:p w:rsidR="00702BA8" w:rsidRDefault="00702BA8" w:rsidP="00775F88">
      <w:pPr>
        <w:jc w:val="both"/>
        <w:rPr>
          <w:rFonts w:ascii="Arial" w:hAnsi="Arial" w:cs="Arial"/>
          <w:i/>
        </w:rPr>
      </w:pPr>
    </w:p>
    <w:p w:rsidR="00702BA8" w:rsidRDefault="00702BA8" w:rsidP="00775F88">
      <w:pPr>
        <w:jc w:val="both"/>
        <w:rPr>
          <w:rFonts w:ascii="Arial" w:hAnsi="Arial" w:cs="Arial"/>
          <w:i/>
        </w:rPr>
      </w:pPr>
    </w:p>
    <w:p w:rsidR="00400E51" w:rsidRPr="00400E51" w:rsidRDefault="00702BA8" w:rsidP="004D05D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036D32" w:rsidRPr="00036D32">
        <w:rPr>
          <w:rFonts w:ascii="Arial" w:hAnsi="Arial" w:cs="Arial"/>
          <w:i/>
        </w:rPr>
        <w:t>lea</w:t>
      </w:r>
      <w:r w:rsidR="006013C6">
        <w:rPr>
          <w:rFonts w:ascii="Arial" w:hAnsi="Arial" w:cs="Arial"/>
          <w:i/>
        </w:rPr>
        <w:t>se find below an outline of an e</w:t>
      </w:r>
      <w:r w:rsidR="00036D32" w:rsidRPr="00036D32">
        <w:rPr>
          <w:rFonts w:ascii="Arial" w:hAnsi="Arial" w:cs="Arial"/>
          <w:i/>
        </w:rPr>
        <w:t xml:space="preserve">mail you could use for contacting possible interview partners for the stakeholder </w:t>
      </w:r>
      <w:r w:rsidR="00194EDE">
        <w:rPr>
          <w:rFonts w:ascii="Arial" w:hAnsi="Arial" w:cs="Arial"/>
          <w:i/>
        </w:rPr>
        <w:t>surveys</w:t>
      </w:r>
      <w:r w:rsidR="002A1880">
        <w:rPr>
          <w:rFonts w:ascii="Arial" w:hAnsi="Arial" w:cs="Arial"/>
          <w:i/>
        </w:rPr>
        <w:t xml:space="preserve"> planned in each country for </w:t>
      </w:r>
      <w:r w:rsidR="00944C49">
        <w:rPr>
          <w:rFonts w:ascii="Arial" w:hAnsi="Arial" w:cs="Arial"/>
          <w:i/>
        </w:rPr>
        <w:t>developing an organizational profile</w:t>
      </w:r>
      <w:r w:rsidR="00036D32" w:rsidRPr="00036D32">
        <w:rPr>
          <w:rFonts w:ascii="Arial" w:hAnsi="Arial" w:cs="Arial"/>
          <w:i/>
        </w:rPr>
        <w:t xml:space="preserve">. Please feel free to modify and adapt according to your needs. </w:t>
      </w:r>
    </w:p>
    <w:p w:rsidR="00F10C08" w:rsidRPr="00775F88" w:rsidRDefault="00775F88" w:rsidP="00775F88">
      <w:pPr>
        <w:jc w:val="both"/>
        <w:rPr>
          <w:rFonts w:ascii="Arial" w:hAnsi="Arial" w:cs="Arial"/>
        </w:rPr>
      </w:pPr>
      <w:r w:rsidRPr="00775F88">
        <w:rPr>
          <w:rFonts w:ascii="Arial" w:hAnsi="Arial" w:cs="Arial"/>
        </w:rPr>
        <w:t xml:space="preserve">Dear </w:t>
      </w:r>
      <w:r w:rsidRPr="001C2C94">
        <w:rPr>
          <w:rFonts w:ascii="Arial" w:hAnsi="Arial" w:cs="Arial"/>
          <w:i/>
        </w:rPr>
        <w:t>Mr./Mrs./Ms.</w:t>
      </w:r>
      <w:r w:rsidRPr="00775F88">
        <w:rPr>
          <w:rFonts w:ascii="Arial" w:hAnsi="Arial" w:cs="Arial"/>
        </w:rPr>
        <w:t xml:space="preserve"> </w:t>
      </w:r>
      <w:r w:rsidR="00944C49">
        <w:rPr>
          <w:rFonts w:ascii="Arial" w:hAnsi="Arial" w:cs="Arial"/>
          <w:i/>
        </w:rPr>
        <w:t>[</w:t>
      </w:r>
      <w:permStart w:id="1640695867" w:edGrp="everyone"/>
      <w:sdt>
        <w:sdtPr>
          <w:rPr>
            <w:rFonts w:ascii="Arial" w:hAnsi="Arial" w:cs="Arial"/>
            <w:i/>
          </w:rPr>
          <w:id w:val="-157149221"/>
          <w:placeholder>
            <w:docPart w:val="DefaultPlaceholder_-1854013440"/>
          </w:placeholder>
          <w:text/>
        </w:sdtPr>
        <w:sdtContent>
          <w:r w:rsidR="001B5553" w:rsidRPr="001C2C94">
            <w:rPr>
              <w:rFonts w:ascii="Arial" w:hAnsi="Arial" w:cs="Arial"/>
              <w:i/>
            </w:rPr>
            <w:t>add name of the person</w:t>
          </w:r>
        </w:sdtContent>
      </w:sdt>
      <w:permEnd w:id="1640695867"/>
      <w:r w:rsidR="001B5553" w:rsidRPr="001C2C94">
        <w:rPr>
          <w:rFonts w:ascii="Arial" w:hAnsi="Arial" w:cs="Arial"/>
          <w:i/>
        </w:rPr>
        <w:t>]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 xml:space="preserve">The HCEU Competence Matrix 'Professional Care' was developed to support the transnational mobility of health care professionals (especially nursing and geriatric nurses) </w:t>
      </w:r>
      <w:proofErr w:type="gramStart"/>
      <w:r w:rsidRPr="00E74BE8">
        <w:rPr>
          <w:rFonts w:ascii="Arial" w:hAnsi="Arial" w:cs="Arial"/>
        </w:rPr>
        <w:t>with regard to</w:t>
      </w:r>
      <w:proofErr w:type="gramEnd"/>
      <w:r w:rsidRPr="00E74BE8">
        <w:rPr>
          <w:rFonts w:ascii="Arial" w:hAnsi="Arial" w:cs="Arial"/>
        </w:rPr>
        <w:t xml:space="preserve"> the recognition of formal learning abroad and training to prepare them for a qualification standard in the target country. It describes the entire area of general nursing and geriatric care in a comprehensive competence matrix. The competence matrix is divided horizontally into (partial) work processes / competence areas and vertically into levels of competence development (red from left to right with increasing competence). Depending on the degree of competence development achieved with a </w:t>
      </w:r>
      <w:proofErr w:type="gramStart"/>
      <w:r w:rsidRPr="00E74BE8">
        <w:rPr>
          <w:rFonts w:ascii="Arial" w:hAnsi="Arial" w:cs="Arial"/>
        </w:rPr>
        <w:t>particular programme/qualification</w:t>
      </w:r>
      <w:proofErr w:type="gramEnd"/>
      <w:r w:rsidRPr="00E74BE8">
        <w:rPr>
          <w:rFonts w:ascii="Arial" w:hAnsi="Arial" w:cs="Arial"/>
        </w:rPr>
        <w:t>, it is possible to compare different qualifications on the basis of so-called "organisational profiles".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 xml:space="preserve">In this way, it is possible to identify gaps between two qualifications relevant to training and recognition procedures in the context of transnational mobility of health professionals. </w:t>
      </w:r>
    </w:p>
    <w:p w:rsid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 xml:space="preserve">As you are an expert in the field </w:t>
      </w:r>
      <w:proofErr w:type="gramStart"/>
      <w:r w:rsidRPr="00E74BE8">
        <w:rPr>
          <w:rFonts w:ascii="Arial" w:hAnsi="Arial" w:cs="Arial"/>
        </w:rPr>
        <w:t>of[</w:t>
      </w:r>
      <w:proofErr w:type="gramEnd"/>
      <w:r w:rsidRPr="00E74BE8">
        <w:rPr>
          <w:rFonts w:ascii="Arial" w:hAnsi="Arial" w:cs="Arial"/>
        </w:rPr>
        <w:t>add your country], we ask you to conduct a survey with yourself in order to determine the organisational profile of[add selected nursing qualification]. This profile expresses the extent to which the competences described in the matrix "Professional Care" are usually achieved by a professional with this qualification after completing his/her studies.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>Our contact will take place in three steps: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>(1) A session of about 20 - 30 minutes for a detailed introduction to the project and guidelines for completing the questionnaire.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 xml:space="preserve">(2) During this meeting you will receive the questionnaire (print or online version), 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>(3) A closing session of about 15 minutes to make a final clarification for completing the questionnaire and collecting it if necessary.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>Your contribution will support the objectives of promoting transnational mobility of health professionals. At the end of the process, you can view the results online in a three-dimensional version of the Competence Matrix.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>I look forward to hearing from you!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>Many thanks in advance.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 xml:space="preserve">Yours sincerely </w:t>
      </w: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BE8" w:rsidRPr="00E74BE8" w:rsidRDefault="00E74BE8" w:rsidP="00E74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5F88" w:rsidRPr="00000446" w:rsidRDefault="00E74BE8" w:rsidP="0077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231F20"/>
        </w:rPr>
      </w:pPr>
      <w:r w:rsidRPr="001C2C94">
        <w:rPr>
          <w:rFonts w:ascii="Arial" w:hAnsi="Arial" w:cs="Arial"/>
          <w:i/>
          <w:color w:val="231F20"/>
        </w:rPr>
        <w:t xml:space="preserve"> </w:t>
      </w:r>
      <w:r w:rsidR="0090120C" w:rsidRPr="001C2C94">
        <w:rPr>
          <w:rFonts w:ascii="Arial" w:hAnsi="Arial" w:cs="Arial"/>
          <w:i/>
          <w:color w:val="231F20"/>
        </w:rPr>
        <w:t>[</w:t>
      </w:r>
      <w:bookmarkStart w:id="0" w:name="_GoBack"/>
      <w:bookmarkEnd w:id="0"/>
      <w:permStart w:id="1717186328" w:edGrp="everyone"/>
      <w:sdt>
        <w:sdtPr>
          <w:rPr>
            <w:rFonts w:ascii="Arial" w:hAnsi="Arial" w:cs="Arial"/>
            <w:i/>
            <w:color w:val="231F20"/>
          </w:rPr>
          <w:id w:val="-402528719"/>
          <w:placeholder>
            <w:docPart w:val="DefaultPlaceholder_-1854013440"/>
          </w:placeholder>
          <w:text/>
        </w:sdtPr>
        <w:sdtContent>
          <w:r w:rsidR="0090120C" w:rsidRPr="001C2C94">
            <w:rPr>
              <w:rFonts w:ascii="Arial" w:hAnsi="Arial" w:cs="Arial"/>
              <w:i/>
              <w:color w:val="231F20"/>
            </w:rPr>
            <w:t>add your name and organisation</w:t>
          </w:r>
        </w:sdtContent>
      </w:sdt>
      <w:permEnd w:id="1717186328"/>
      <w:r w:rsidR="0090120C" w:rsidRPr="001C2C94">
        <w:rPr>
          <w:rFonts w:ascii="Arial" w:hAnsi="Arial" w:cs="Arial"/>
          <w:i/>
          <w:color w:val="231F20"/>
        </w:rPr>
        <w:t>]</w:t>
      </w:r>
    </w:p>
    <w:sectPr w:rsidR="00775F88" w:rsidRPr="00000446" w:rsidSect="00F10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B0" w:rsidRDefault="00E754B0" w:rsidP="00036D32">
      <w:pPr>
        <w:spacing w:after="0" w:line="240" w:lineRule="auto"/>
      </w:pPr>
      <w:r>
        <w:separator/>
      </w:r>
    </w:p>
  </w:endnote>
  <w:endnote w:type="continuationSeparator" w:id="0">
    <w:p w:rsidR="00E754B0" w:rsidRDefault="00E754B0" w:rsidP="0003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B0" w:rsidRDefault="00E754B0" w:rsidP="00036D32">
      <w:pPr>
        <w:spacing w:after="0" w:line="240" w:lineRule="auto"/>
      </w:pPr>
      <w:r>
        <w:separator/>
      </w:r>
    </w:p>
  </w:footnote>
  <w:footnote w:type="continuationSeparator" w:id="0">
    <w:p w:rsidR="00E754B0" w:rsidRDefault="00E754B0" w:rsidP="0003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Ytun0enY1tPOqW98ghHbekn05A5r+FXJMPIN++bPG2XDKx3AIjEBMvy5fstKR6AapD5imJPsfHcARP320v+Ig==" w:salt="N1iAMkhLrzi3s2MOQsHj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88"/>
    <w:rsid w:val="00000446"/>
    <w:rsid w:val="00014076"/>
    <w:rsid w:val="0003255F"/>
    <w:rsid w:val="00036D32"/>
    <w:rsid w:val="000655EE"/>
    <w:rsid w:val="00094C48"/>
    <w:rsid w:val="000F2C31"/>
    <w:rsid w:val="00111FE5"/>
    <w:rsid w:val="00163000"/>
    <w:rsid w:val="00180968"/>
    <w:rsid w:val="00194EDE"/>
    <w:rsid w:val="001B4491"/>
    <w:rsid w:val="001B5553"/>
    <w:rsid w:val="001C2C94"/>
    <w:rsid w:val="001E44DB"/>
    <w:rsid w:val="001F2967"/>
    <w:rsid w:val="00270FB1"/>
    <w:rsid w:val="002965E8"/>
    <w:rsid w:val="002A1880"/>
    <w:rsid w:val="003472A7"/>
    <w:rsid w:val="00354938"/>
    <w:rsid w:val="003C170C"/>
    <w:rsid w:val="003E0EA6"/>
    <w:rsid w:val="00400E51"/>
    <w:rsid w:val="00446911"/>
    <w:rsid w:val="004C7270"/>
    <w:rsid w:val="004D05DE"/>
    <w:rsid w:val="005372D8"/>
    <w:rsid w:val="0054670D"/>
    <w:rsid w:val="005926F4"/>
    <w:rsid w:val="005B051D"/>
    <w:rsid w:val="005C2FF8"/>
    <w:rsid w:val="005F05FA"/>
    <w:rsid w:val="006013C6"/>
    <w:rsid w:val="00630166"/>
    <w:rsid w:val="00642735"/>
    <w:rsid w:val="00684C7B"/>
    <w:rsid w:val="00686988"/>
    <w:rsid w:val="006C5B0C"/>
    <w:rsid w:val="006F108F"/>
    <w:rsid w:val="006F2F8A"/>
    <w:rsid w:val="006F55EE"/>
    <w:rsid w:val="00702BA8"/>
    <w:rsid w:val="00745521"/>
    <w:rsid w:val="007571C3"/>
    <w:rsid w:val="00775F88"/>
    <w:rsid w:val="007D2C61"/>
    <w:rsid w:val="007E0AE6"/>
    <w:rsid w:val="008104B8"/>
    <w:rsid w:val="008115C5"/>
    <w:rsid w:val="008A35D4"/>
    <w:rsid w:val="008D25B1"/>
    <w:rsid w:val="008D28B1"/>
    <w:rsid w:val="0090120C"/>
    <w:rsid w:val="00944C49"/>
    <w:rsid w:val="00957C53"/>
    <w:rsid w:val="00961CBA"/>
    <w:rsid w:val="00970F52"/>
    <w:rsid w:val="00990310"/>
    <w:rsid w:val="009A1E58"/>
    <w:rsid w:val="009A62F3"/>
    <w:rsid w:val="009C4C5A"/>
    <w:rsid w:val="009F6983"/>
    <w:rsid w:val="00A4129E"/>
    <w:rsid w:val="00A56267"/>
    <w:rsid w:val="00AA0C30"/>
    <w:rsid w:val="00AB1C6E"/>
    <w:rsid w:val="00AD6621"/>
    <w:rsid w:val="00AF3751"/>
    <w:rsid w:val="00AF60E6"/>
    <w:rsid w:val="00BE6535"/>
    <w:rsid w:val="00C74C5D"/>
    <w:rsid w:val="00CC6CF8"/>
    <w:rsid w:val="00CD3663"/>
    <w:rsid w:val="00CD75B6"/>
    <w:rsid w:val="00CE2B99"/>
    <w:rsid w:val="00D22765"/>
    <w:rsid w:val="00D313FE"/>
    <w:rsid w:val="00D4117E"/>
    <w:rsid w:val="00DE52B6"/>
    <w:rsid w:val="00E01B9E"/>
    <w:rsid w:val="00E07971"/>
    <w:rsid w:val="00E35B8E"/>
    <w:rsid w:val="00E715EE"/>
    <w:rsid w:val="00E74BE8"/>
    <w:rsid w:val="00E754B0"/>
    <w:rsid w:val="00E9518D"/>
    <w:rsid w:val="00EC2FBA"/>
    <w:rsid w:val="00EC7A59"/>
    <w:rsid w:val="00F10C08"/>
    <w:rsid w:val="00F3263A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4F9D-FB26-4956-B50D-73CB38B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C0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3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6D32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03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6D32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BA8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rsid w:val="00702BA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35B8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5B8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9A1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1EA1B-8F49-40C1-9883-25D88EF6DA1F}"/>
      </w:docPartPr>
      <w:docPartBody>
        <w:p w:rsidR="00000000" w:rsidRDefault="00F75C16">
          <w:r w:rsidRPr="00482A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16"/>
    <w:rsid w:val="00826BA9"/>
    <w:rsid w:val="00F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8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 User</dc:creator>
  <cp:lastModifiedBy>Matthias Ball</cp:lastModifiedBy>
  <cp:revision>7</cp:revision>
  <dcterms:created xsi:type="dcterms:W3CDTF">2018-04-25T09:32:00Z</dcterms:created>
  <dcterms:modified xsi:type="dcterms:W3CDTF">2018-11-09T17:49:00Z</dcterms:modified>
</cp:coreProperties>
</file>